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ind w:hanging="0" w:start="0"/>
        <w:jc w:val="center"/>
        <w:rPr>
          <w:sz w:val="22"/>
          <w:szCs w:val="22"/>
        </w:rPr>
      </w:pPr>
      <w:r>
        <w:rPr>
          <w:sz w:val="22"/>
          <w:szCs w:val="22"/>
        </w:rPr>
        <w:t>ДОГОВОР №-      -202__</w:t>
      </w:r>
    </w:p>
    <w:p>
      <w:pPr>
        <w:pStyle w:val="Normal"/>
        <w:jc w:val="center"/>
        <w:rPr/>
      </w:pPr>
      <w:r>
        <w:rPr>
          <w:sz w:val="22"/>
          <w:szCs w:val="22"/>
        </w:rPr>
        <w:t xml:space="preserve">на выполнение работ по экспертизе </w:t>
      </w:r>
    </w:p>
    <w:p>
      <w:pPr>
        <w:pStyle w:val="Normal"/>
        <w:jc w:val="center"/>
        <w:rPr>
          <w:sz w:val="22"/>
          <w:szCs w:val="22"/>
        </w:rPr>
      </w:pPr>
      <w:r>
        <w:rPr>
          <w:sz w:val="22"/>
          <w:szCs w:val="22"/>
        </w:rPr>
      </w:r>
    </w:p>
    <w:p>
      <w:pPr>
        <w:pStyle w:val="Normal"/>
        <w:jc w:val="both"/>
        <w:rPr>
          <w:sz w:val="22"/>
          <w:szCs w:val="22"/>
        </w:rPr>
      </w:pPr>
      <w:r>
        <w:rPr>
          <w:sz w:val="22"/>
          <w:szCs w:val="22"/>
        </w:rPr>
        <w:t>г. Раменское                                                                                                            «     » _____  202__г.</w:t>
      </w:r>
    </w:p>
    <w:p>
      <w:pPr>
        <w:pStyle w:val="Normal"/>
        <w:jc w:val="both"/>
        <w:rPr>
          <w:b/>
          <w:bCs/>
          <w:sz w:val="22"/>
          <w:szCs w:val="22"/>
        </w:rPr>
      </w:pPr>
      <w:r>
        <w:rPr>
          <w:b/>
          <w:bCs/>
          <w:sz w:val="22"/>
          <w:szCs w:val="22"/>
        </w:rPr>
      </w:r>
    </w:p>
    <w:p>
      <w:pPr>
        <w:pStyle w:val="Normal"/>
        <w:jc w:val="both"/>
        <w:rPr/>
      </w:pPr>
      <w:r>
        <w:rPr>
          <w:sz w:val="22"/>
          <w:szCs w:val="22"/>
        </w:rPr>
        <w:t>Общество с ограниченной ответственностью «ЭкспертКонсалтинг» в лице Генерального директора Сюлева Николая Сергеевича, действующего на основании Устава, именуемое в дальнейшем Исполнитель, с одной стороны, и______________, именуемая в дальнейшем Заказчик, с другой стороны, вместе именуемые в дальнейшем СТОРОНЫ, заключили настоящий Договор о нижеследующем:</w:t>
      </w:r>
    </w:p>
    <w:p>
      <w:pPr>
        <w:pStyle w:val="Normal"/>
        <w:jc w:val="both"/>
        <w:rPr>
          <w:sz w:val="22"/>
          <w:szCs w:val="22"/>
        </w:rPr>
      </w:pPr>
      <w:r>
        <w:rPr>
          <w:sz w:val="22"/>
          <w:szCs w:val="22"/>
        </w:rPr>
      </w:r>
    </w:p>
    <w:p>
      <w:pPr>
        <w:pStyle w:val="Normal"/>
        <w:numPr>
          <w:ilvl w:val="0"/>
          <w:numId w:val="3"/>
        </w:numPr>
        <w:jc w:val="center"/>
        <w:rPr>
          <w:b/>
          <w:sz w:val="22"/>
          <w:szCs w:val="22"/>
        </w:rPr>
      </w:pPr>
      <w:r>
        <w:rPr>
          <w:b/>
          <w:sz w:val="22"/>
          <w:szCs w:val="22"/>
        </w:rPr>
        <w:t>ПРЕДМЕТ ДОГОВОРА</w:t>
      </w:r>
    </w:p>
    <w:p>
      <w:pPr>
        <w:pStyle w:val="Normal"/>
        <w:ind w:start="360" w:end="0"/>
        <w:rPr>
          <w:b/>
          <w:sz w:val="22"/>
          <w:szCs w:val="22"/>
        </w:rPr>
      </w:pPr>
      <w:r>
        <w:rPr>
          <w:b/>
          <w:sz w:val="22"/>
          <w:szCs w:val="22"/>
        </w:rPr>
      </w:r>
    </w:p>
    <w:p>
      <w:pPr>
        <w:pStyle w:val="Normal"/>
        <w:jc w:val="both"/>
        <w:rPr/>
      </w:pPr>
      <w:r>
        <w:rPr>
          <w:sz w:val="22"/>
          <w:szCs w:val="22"/>
        </w:rPr>
        <w:t>1.1. Исполнитель организует проведение независимой экспертизы __________,  и выдает письменное заключение специалиста по ее результатам, предназначенное для использования в качестве доказательства в суде, а Заказчик оплачивает эти работы в соответствии с условиями настоящего договора.</w:t>
      </w:r>
    </w:p>
    <w:p>
      <w:pPr>
        <w:pStyle w:val="Normal"/>
        <w:jc w:val="both"/>
        <w:rPr>
          <w:sz w:val="22"/>
          <w:szCs w:val="22"/>
        </w:rPr>
      </w:pPr>
      <w:r>
        <w:rPr>
          <w:sz w:val="22"/>
          <w:szCs w:val="22"/>
        </w:rPr>
        <w:t>1.2. Предметом обязательства Исполнителя по настоящему Договору является надлежащее проведение экспертного исследования и компетентные ответы на вопросы, поставленные Заказчиком. Исполнитель ни при каких обстоятельствах не может гарантировать Заказчику тот или иной результат исследования, в том числе благоприятные для Заказчика выводы эксперта, т.к. руководствуется  в своей деятельности принципами независимости специалиста.</w:t>
      </w:r>
    </w:p>
    <w:p>
      <w:pPr>
        <w:pStyle w:val="Normal"/>
        <w:numPr>
          <w:ilvl w:val="1"/>
          <w:numId w:val="3"/>
        </w:numPr>
        <w:jc w:val="both"/>
        <w:rPr>
          <w:sz w:val="22"/>
          <w:szCs w:val="22"/>
        </w:rPr>
      </w:pPr>
      <w:r>
        <w:rPr>
          <w:sz w:val="22"/>
          <w:szCs w:val="22"/>
        </w:rPr>
      </w:r>
    </w:p>
    <w:p>
      <w:pPr>
        <w:pStyle w:val="Normal"/>
        <w:numPr>
          <w:ilvl w:val="0"/>
          <w:numId w:val="3"/>
        </w:numPr>
        <w:jc w:val="center"/>
        <w:rPr>
          <w:sz w:val="22"/>
          <w:szCs w:val="22"/>
        </w:rPr>
      </w:pPr>
      <w:r>
        <w:rPr>
          <w:b/>
          <w:sz w:val="22"/>
          <w:szCs w:val="22"/>
        </w:rPr>
        <w:t>СТОИМОСТЬ РАБОТ И ПОРЯДОК РАСЧЕТОВ</w:t>
      </w:r>
    </w:p>
    <w:p>
      <w:pPr>
        <w:pStyle w:val="Normal"/>
        <w:numPr>
          <w:ilvl w:val="1"/>
          <w:numId w:val="3"/>
        </w:numPr>
        <w:jc w:val="both"/>
        <w:rPr>
          <w:sz w:val="22"/>
          <w:szCs w:val="22"/>
        </w:rPr>
      </w:pPr>
      <w:r>
        <w:rPr>
          <w:sz w:val="22"/>
          <w:szCs w:val="22"/>
        </w:rPr>
      </w:r>
    </w:p>
    <w:p>
      <w:pPr>
        <w:pStyle w:val="Normal"/>
        <w:numPr>
          <w:ilvl w:val="1"/>
          <w:numId w:val="3"/>
        </w:numPr>
        <w:jc w:val="both"/>
        <w:rPr>
          <w:sz w:val="22"/>
          <w:szCs w:val="22"/>
        </w:rPr>
      </w:pPr>
      <w:r>
        <w:rPr>
          <w:sz w:val="22"/>
          <w:szCs w:val="22"/>
        </w:rPr>
        <w:t>2.1. Стоимость услуг Исполнителя по настоящему Договору составляет _______________ (тысяч ) рублей без НДС в силу применения Исполнителем упрощенной системы налогообложения.</w:t>
      </w:r>
    </w:p>
    <w:p>
      <w:pPr>
        <w:pStyle w:val="Normal"/>
        <w:numPr>
          <w:ilvl w:val="1"/>
          <w:numId w:val="3"/>
        </w:numPr>
        <w:jc w:val="both"/>
        <w:rPr>
          <w:sz w:val="22"/>
          <w:szCs w:val="22"/>
        </w:rPr>
      </w:pPr>
      <w:r>
        <w:rPr>
          <w:sz w:val="22"/>
          <w:szCs w:val="22"/>
        </w:rPr>
        <w:t>2.2. Платеж Заказчик осуществляет путем внесения денежных средств Исполнителю в течение 3-х дней с момента подписания настоящего Договора и до начала выполнения работ.</w:t>
      </w:r>
    </w:p>
    <w:p>
      <w:pPr>
        <w:pStyle w:val="Normal"/>
        <w:ind w:start="708" w:end="0"/>
        <w:jc w:val="both"/>
        <w:rPr>
          <w:sz w:val="22"/>
          <w:szCs w:val="22"/>
        </w:rPr>
      </w:pPr>
      <w:r>
        <w:rPr>
          <w:sz w:val="22"/>
          <w:szCs w:val="22"/>
        </w:rPr>
      </w:r>
    </w:p>
    <w:p>
      <w:pPr>
        <w:pStyle w:val="Normal"/>
        <w:numPr>
          <w:ilvl w:val="0"/>
          <w:numId w:val="3"/>
        </w:numPr>
        <w:jc w:val="center"/>
        <w:rPr>
          <w:sz w:val="22"/>
          <w:szCs w:val="22"/>
        </w:rPr>
      </w:pPr>
      <w:r>
        <w:rPr>
          <w:b/>
          <w:sz w:val="22"/>
          <w:szCs w:val="22"/>
        </w:rPr>
        <w:t>ПРАВА И ОБЯЗАННОСТИ СТОРОН</w:t>
      </w:r>
    </w:p>
    <w:p>
      <w:pPr>
        <w:pStyle w:val="Normal"/>
        <w:numPr>
          <w:ilvl w:val="1"/>
          <w:numId w:val="3"/>
        </w:numPr>
        <w:jc w:val="both"/>
        <w:rPr>
          <w:b/>
          <w:sz w:val="22"/>
          <w:szCs w:val="22"/>
          <w:u w:val="single"/>
        </w:rPr>
      </w:pPr>
      <w:r>
        <w:rPr>
          <w:b/>
          <w:sz w:val="22"/>
          <w:szCs w:val="22"/>
          <w:u w:val="single"/>
        </w:rPr>
      </w:r>
    </w:p>
    <w:p>
      <w:pPr>
        <w:pStyle w:val="Normal"/>
        <w:numPr>
          <w:ilvl w:val="1"/>
          <w:numId w:val="3"/>
        </w:numPr>
        <w:jc w:val="both"/>
        <w:rPr>
          <w:b/>
          <w:sz w:val="22"/>
          <w:szCs w:val="22"/>
          <w:u w:val="single"/>
        </w:rPr>
      </w:pPr>
      <w:r>
        <w:rPr>
          <w:b/>
          <w:sz w:val="22"/>
          <w:szCs w:val="22"/>
          <w:u w:val="single"/>
        </w:rPr>
        <w:t>3.1. Исполнитель обязуется:</w:t>
      </w:r>
    </w:p>
    <w:p>
      <w:pPr>
        <w:pStyle w:val="Normal"/>
        <w:jc w:val="both"/>
        <w:rPr>
          <w:sz w:val="22"/>
          <w:szCs w:val="22"/>
        </w:rPr>
      </w:pPr>
      <w:r>
        <w:rPr>
          <w:sz w:val="22"/>
          <w:szCs w:val="22"/>
        </w:rPr>
        <w:t xml:space="preserve">      </w:t>
      </w:r>
      <w:r>
        <w:rPr>
          <w:sz w:val="22"/>
          <w:szCs w:val="22"/>
        </w:rPr>
        <w:t>3.1.1. В течение 10 дней выдать заключение, по п. 1.1 настоящего Договора после выполнения Заказчиком п.2.2. настоящего Договора.</w:t>
      </w:r>
    </w:p>
    <w:p>
      <w:pPr>
        <w:pStyle w:val="Normal"/>
        <w:jc w:val="both"/>
        <w:rPr>
          <w:sz w:val="22"/>
          <w:szCs w:val="22"/>
        </w:rPr>
      </w:pPr>
      <w:r>
        <w:rPr>
          <w:sz w:val="22"/>
          <w:szCs w:val="22"/>
        </w:rPr>
        <w:t xml:space="preserve">      </w:t>
      </w:r>
    </w:p>
    <w:p>
      <w:pPr>
        <w:pStyle w:val="Normal"/>
        <w:jc w:val="both"/>
        <w:rPr>
          <w:sz w:val="22"/>
          <w:szCs w:val="22"/>
          <w:u w:val="single"/>
        </w:rPr>
      </w:pPr>
      <w:r>
        <w:rPr>
          <w:sz w:val="22"/>
          <w:szCs w:val="22"/>
        </w:rPr>
        <w:t xml:space="preserve">      </w:t>
      </w:r>
      <w:r>
        <w:rPr>
          <w:b/>
          <w:sz w:val="22"/>
          <w:szCs w:val="22"/>
          <w:u w:val="single"/>
        </w:rPr>
        <w:t>3.2 Исполнитель вправе:</w:t>
      </w:r>
    </w:p>
    <w:p>
      <w:pPr>
        <w:pStyle w:val="Normal"/>
        <w:jc w:val="both"/>
        <w:rPr/>
      </w:pPr>
      <w:r>
        <w:rPr>
          <w:sz w:val="22"/>
          <w:szCs w:val="22"/>
        </w:rPr>
        <w:t xml:space="preserve">     </w:t>
      </w:r>
      <w:r>
        <w:rPr>
          <w:sz w:val="22"/>
          <w:szCs w:val="22"/>
        </w:rPr>
        <w:t>3.2.1 Проводить обследование и фотографирование объекта экспертизы;</w:t>
      </w:r>
    </w:p>
    <w:p>
      <w:pPr>
        <w:pStyle w:val="Normal"/>
        <w:jc w:val="both"/>
        <w:rPr/>
      </w:pPr>
      <w:r>
        <w:rPr>
          <w:sz w:val="22"/>
          <w:szCs w:val="22"/>
        </w:rPr>
        <w:t xml:space="preserve">     </w:t>
      </w:r>
      <w:r>
        <w:rPr>
          <w:sz w:val="22"/>
          <w:szCs w:val="22"/>
        </w:rPr>
        <w:t>3.2.2. Привлекать по своему усмотрению и за свой счет отдельных специалистов, либо специализированные организации для экспертизы, либо для консультирования.</w:t>
      </w:r>
    </w:p>
    <w:p>
      <w:pPr>
        <w:pStyle w:val="Normal"/>
        <w:numPr>
          <w:ilvl w:val="1"/>
          <w:numId w:val="2"/>
        </w:numPr>
        <w:jc w:val="both"/>
        <w:rPr>
          <w:sz w:val="22"/>
          <w:szCs w:val="22"/>
        </w:rPr>
      </w:pPr>
      <w:r>
        <w:rPr>
          <w:b/>
          <w:sz w:val="22"/>
          <w:szCs w:val="22"/>
          <w:u w:val="single"/>
        </w:rPr>
        <w:t>Заказчик обязуется</w:t>
      </w:r>
      <w:r>
        <w:rPr>
          <w:sz w:val="22"/>
          <w:szCs w:val="22"/>
        </w:rPr>
        <w:t>:</w:t>
      </w:r>
    </w:p>
    <w:p>
      <w:pPr>
        <w:pStyle w:val="Normal"/>
        <w:jc w:val="both"/>
        <w:rPr/>
      </w:pPr>
      <w:r>
        <w:rPr>
          <w:sz w:val="22"/>
          <w:szCs w:val="22"/>
        </w:rPr>
        <w:t xml:space="preserve">     </w:t>
      </w:r>
      <w:r>
        <w:rPr>
          <w:sz w:val="22"/>
          <w:szCs w:val="22"/>
        </w:rPr>
        <w:t>3.3.1. Своевременно, в соответствии с п.п. 2.1, 2.2 настоящего Договора, оплатить услуги, в том числе в случае, когда экспертное заключение не согласуется с позицией Заказчика.</w:t>
      </w:r>
    </w:p>
    <w:p>
      <w:pPr>
        <w:pStyle w:val="Normal"/>
        <w:jc w:val="both"/>
        <w:rPr>
          <w:sz w:val="22"/>
          <w:szCs w:val="22"/>
        </w:rPr>
      </w:pPr>
      <w:r>
        <w:rPr>
          <w:sz w:val="22"/>
          <w:szCs w:val="22"/>
        </w:rPr>
        <w:t xml:space="preserve">      </w:t>
      </w:r>
      <w:r>
        <w:rPr>
          <w:sz w:val="22"/>
          <w:szCs w:val="22"/>
        </w:rPr>
        <w:t>3.3.2. Обеспечивать Исполнителя всей информацией, необходимой для составления заключения. Если Заказчик допустит просрочку в предоставлении предмета экспертизы, информации и/или необходимых документов против сроков, установленных настоящим Договором, срок представления заключения соразмерно отодвигается на количество дней, просроченных Заказчиком в предоставлении.</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numPr>
          <w:ilvl w:val="0"/>
          <w:numId w:val="3"/>
        </w:numPr>
        <w:jc w:val="center"/>
        <w:rPr>
          <w:sz w:val="22"/>
          <w:szCs w:val="22"/>
        </w:rPr>
      </w:pPr>
      <w:r>
        <w:rPr>
          <w:b/>
          <w:sz w:val="22"/>
          <w:szCs w:val="22"/>
        </w:rPr>
        <w:t>ОТВЕТСТВЕННОСТЬ СТОРОН</w:t>
      </w:r>
      <w:r>
        <w:rPr>
          <w:sz w:val="22"/>
          <w:szCs w:val="22"/>
        </w:rPr>
        <w:t xml:space="preserve">   </w:t>
      </w:r>
    </w:p>
    <w:p>
      <w:pPr>
        <w:pStyle w:val="Normal"/>
        <w:numPr>
          <w:ilvl w:val="1"/>
          <w:numId w:val="3"/>
        </w:numPr>
        <w:jc w:val="both"/>
        <w:rPr>
          <w:sz w:val="22"/>
          <w:szCs w:val="22"/>
        </w:rPr>
      </w:pPr>
      <w:r>
        <w:rPr>
          <w:sz w:val="22"/>
          <w:szCs w:val="22"/>
        </w:rPr>
      </w:r>
    </w:p>
    <w:p>
      <w:pPr>
        <w:pStyle w:val="Normal"/>
        <w:numPr>
          <w:ilvl w:val="1"/>
          <w:numId w:val="3"/>
        </w:numPr>
        <w:jc w:val="both"/>
        <w:rPr>
          <w:sz w:val="22"/>
          <w:szCs w:val="22"/>
        </w:rPr>
      </w:pPr>
      <w:r>
        <w:rPr>
          <w:sz w:val="22"/>
          <w:szCs w:val="22"/>
        </w:rPr>
        <w:t>4.1. Исполнитель не несет ответственности за выводы, сделанные на основе полученных от Заказчика документов и информации, содержащих недостоверные сведения, кроме тех случаев, когда Исполнитель (специалист Исполнителя) в соответствии со своим профессиональным уровнем был способен выявить недостоверность таких сведений.</w:t>
      </w:r>
    </w:p>
    <w:p>
      <w:pPr>
        <w:pStyle w:val="Normal"/>
        <w:numPr>
          <w:ilvl w:val="1"/>
          <w:numId w:val="3"/>
        </w:numPr>
        <w:jc w:val="both"/>
        <w:rPr>
          <w:sz w:val="22"/>
          <w:szCs w:val="22"/>
        </w:rPr>
      </w:pPr>
      <w:r>
        <w:rPr>
          <w:sz w:val="22"/>
          <w:szCs w:val="22"/>
        </w:rPr>
        <w:t>4.2.  Исполнитель не несет ответственности за результат оценки судом заключения как достоверного, т.к. в противном случае это нарушит принцип независимости судей и повлечет  вмешательство в деятельность судебных органов со стороны экспертной организации, что недопустимо.</w:t>
      </w:r>
    </w:p>
    <w:p>
      <w:pPr>
        <w:pStyle w:val="Normal"/>
        <w:numPr>
          <w:ilvl w:val="1"/>
          <w:numId w:val="3"/>
        </w:numPr>
        <w:jc w:val="both"/>
        <w:rPr>
          <w:sz w:val="22"/>
          <w:szCs w:val="22"/>
        </w:rPr>
      </w:pPr>
      <w:r>
        <w:rPr>
          <w:sz w:val="22"/>
          <w:szCs w:val="22"/>
        </w:rPr>
        <w:t>4.3.  В случае виновного  ненадлежащего исполнения обязательства Исполнитель несет имущественную ответственность  в размере, не превышающем сумму, внесенную Заказчиком во исполнение настоящего Договора, в соответствии с ГК РФ.</w:t>
      </w:r>
    </w:p>
    <w:p>
      <w:pPr>
        <w:pStyle w:val="Normal"/>
        <w:numPr>
          <w:ilvl w:val="1"/>
          <w:numId w:val="3"/>
        </w:numPr>
        <w:jc w:val="both"/>
        <w:rPr>
          <w:sz w:val="22"/>
          <w:szCs w:val="22"/>
        </w:rPr>
      </w:pPr>
      <w:r>
        <w:rPr>
          <w:sz w:val="22"/>
          <w:szCs w:val="22"/>
        </w:rPr>
        <w:t>4.4. За нарушение обязательств по настоящему Договору Стороны несут ответственность в соответствии с действующим законодательством Российской Федерации.</w:t>
      </w:r>
    </w:p>
    <w:p>
      <w:pPr>
        <w:pStyle w:val="Normal"/>
        <w:numPr>
          <w:ilvl w:val="1"/>
          <w:numId w:val="3"/>
        </w:numPr>
        <w:jc w:val="both"/>
        <w:rPr>
          <w:sz w:val="22"/>
          <w:szCs w:val="22"/>
        </w:rPr>
      </w:pPr>
      <w:r>
        <w:rPr>
          <w:sz w:val="22"/>
          <w:szCs w:val="22"/>
        </w:rPr>
        <w:t>4.5. 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событий чрезвычайного характера, которые ни одна из сторон не в состоянии ни предвидеть, ни предотвратить разумными мерами.</w:t>
      </w:r>
    </w:p>
    <w:p>
      <w:pPr>
        <w:pStyle w:val="Normal"/>
        <w:numPr>
          <w:ilvl w:val="1"/>
          <w:numId w:val="3"/>
        </w:numPr>
        <w:jc w:val="both"/>
        <w:rPr>
          <w:sz w:val="22"/>
          <w:szCs w:val="22"/>
        </w:rPr>
      </w:pPr>
      <w:r>
        <w:rPr>
          <w:sz w:val="22"/>
          <w:szCs w:val="22"/>
        </w:rPr>
        <w:t>4.6. В случае возникновения обстоятельств непреодолимой силы срок исполнения обязательств по настоящему договору отодвигается на срок действия таких обстоятельств и их последствий, о чем каждая из Сторон должна своевременно уведомить другую сторону.</w:t>
      </w:r>
    </w:p>
    <w:p>
      <w:pPr>
        <w:pStyle w:val="Normal"/>
        <w:numPr>
          <w:ilvl w:val="1"/>
          <w:numId w:val="3"/>
        </w:numPr>
        <w:jc w:val="both"/>
        <w:rPr>
          <w:sz w:val="22"/>
          <w:szCs w:val="22"/>
        </w:rPr>
      </w:pPr>
      <w:r>
        <w:rPr>
          <w:sz w:val="22"/>
          <w:szCs w:val="22"/>
        </w:rPr>
      </w:r>
    </w:p>
    <w:p>
      <w:pPr>
        <w:pStyle w:val="Normal"/>
        <w:numPr>
          <w:ilvl w:val="0"/>
          <w:numId w:val="3"/>
        </w:numPr>
        <w:jc w:val="center"/>
        <w:rPr>
          <w:b/>
          <w:sz w:val="22"/>
          <w:szCs w:val="22"/>
        </w:rPr>
      </w:pPr>
      <w:r>
        <w:rPr>
          <w:b/>
          <w:sz w:val="22"/>
          <w:szCs w:val="22"/>
        </w:rPr>
        <w:t>ЗАКЛЮЧИТЕЛЬНЫЕ ПОЛОЖЕНИЯ</w:t>
      </w:r>
    </w:p>
    <w:p>
      <w:pPr>
        <w:pStyle w:val="Normal"/>
        <w:numPr>
          <w:ilvl w:val="1"/>
          <w:numId w:val="3"/>
        </w:numPr>
        <w:jc w:val="both"/>
        <w:rPr>
          <w:sz w:val="22"/>
          <w:szCs w:val="22"/>
        </w:rPr>
      </w:pPr>
      <w:r>
        <w:rPr>
          <w:b/>
          <w:sz w:val="22"/>
          <w:szCs w:val="22"/>
        </w:rPr>
      </w:r>
    </w:p>
    <w:p>
      <w:pPr>
        <w:pStyle w:val="Normal"/>
        <w:numPr>
          <w:ilvl w:val="1"/>
          <w:numId w:val="3"/>
        </w:numPr>
        <w:jc w:val="both"/>
        <w:rPr>
          <w:sz w:val="22"/>
          <w:szCs w:val="22"/>
        </w:rPr>
      </w:pPr>
      <w:r>
        <w:rPr>
          <w:sz w:val="22"/>
          <w:szCs w:val="22"/>
        </w:rPr>
        <w:t>5.1. Условия настоящего Договора, в том числе порядок и формы взаиморасчетов, являются конфиденциальной информацией и не подлежат разглашению Сторонами третьим лицам.</w:t>
      </w:r>
    </w:p>
    <w:p>
      <w:pPr>
        <w:pStyle w:val="Normal"/>
        <w:numPr>
          <w:ilvl w:val="1"/>
          <w:numId w:val="3"/>
        </w:numPr>
        <w:jc w:val="both"/>
        <w:rPr>
          <w:sz w:val="22"/>
          <w:szCs w:val="22"/>
        </w:rPr>
      </w:pPr>
      <w:r>
        <w:rPr>
          <w:sz w:val="22"/>
          <w:szCs w:val="22"/>
        </w:rPr>
        <w:t>5.2. Факт исполнения обязательств по настоящему договору подтверждается получением предмета договора Заказчиком, его представителем или отправка его Почтой России по адресу Заказчика, указанному в договоре.</w:t>
      </w:r>
    </w:p>
    <w:p>
      <w:pPr>
        <w:pStyle w:val="Normal"/>
        <w:numPr>
          <w:ilvl w:val="1"/>
          <w:numId w:val="3"/>
        </w:numPr>
        <w:jc w:val="both"/>
        <w:rPr>
          <w:sz w:val="22"/>
          <w:szCs w:val="22"/>
        </w:rPr>
      </w:pPr>
      <w:r>
        <w:rPr>
          <w:sz w:val="22"/>
          <w:szCs w:val="22"/>
        </w:rPr>
        <w:t>5.3. Решения судебных и других государственных органов не могут служить основанием признания ненадлежащим исполнения обязательства Исполнителем по настоящему Договору.</w:t>
      </w:r>
    </w:p>
    <w:p>
      <w:pPr>
        <w:pStyle w:val="Normal"/>
        <w:numPr>
          <w:ilvl w:val="1"/>
          <w:numId w:val="3"/>
        </w:numPr>
        <w:jc w:val="both"/>
        <w:rPr>
          <w:sz w:val="22"/>
          <w:szCs w:val="22"/>
        </w:rPr>
      </w:pPr>
      <w:r>
        <w:rPr>
          <w:sz w:val="22"/>
          <w:szCs w:val="22"/>
        </w:rPr>
        <w:t>5.4.  Исполнение или неисполнение обязательств по настоящему Договору не могут являться предметом спора по ФЗ «О защите прав потребителей», т. к. результаты настоящего Договора не являются товаром, работой или услугой, предназначенной для использования исключительно в личных целях. Заключение эксперта предназначено для использования его как доказательства в судебных органах.</w:t>
      </w:r>
    </w:p>
    <w:p>
      <w:pPr>
        <w:pStyle w:val="Normal"/>
        <w:numPr>
          <w:ilvl w:val="1"/>
          <w:numId w:val="3"/>
        </w:numPr>
        <w:jc w:val="both"/>
        <w:rPr>
          <w:sz w:val="22"/>
          <w:szCs w:val="22"/>
        </w:rPr>
      </w:pPr>
      <w:r>
        <w:rPr>
          <w:sz w:val="22"/>
          <w:szCs w:val="22"/>
        </w:rPr>
        <w:t>5.5.  Ничто в данном договоре и деятельности специалиста не должно пониматься и истолковываться как обещание успеха либо гарантии Исполнителя для Заказчика или третьих лиц, кроме гарантии предоставления независимого экспертного исследования.</w:t>
      </w:r>
    </w:p>
    <w:p>
      <w:pPr>
        <w:pStyle w:val="Normal"/>
        <w:numPr>
          <w:ilvl w:val="1"/>
          <w:numId w:val="3"/>
        </w:numPr>
        <w:jc w:val="both"/>
        <w:rPr>
          <w:sz w:val="22"/>
          <w:szCs w:val="22"/>
        </w:rPr>
      </w:pPr>
      <w:r>
        <w:rPr>
          <w:sz w:val="22"/>
          <w:szCs w:val="22"/>
        </w:rPr>
        <w:t>5.6. Все разногласия и споры, которые могут возникнуть между сторонами из настоящего Договора и в связи с ним, решаются путем переговоров, а при недостижении согласия – в судебном порядке в соответствии с законодательством Российской Федерации.</w:t>
      </w:r>
    </w:p>
    <w:p>
      <w:pPr>
        <w:pStyle w:val="Normal"/>
        <w:numPr>
          <w:ilvl w:val="1"/>
          <w:numId w:val="3"/>
        </w:numPr>
        <w:jc w:val="both"/>
        <w:rPr>
          <w:sz w:val="22"/>
          <w:szCs w:val="22"/>
        </w:rPr>
      </w:pPr>
      <w:r>
        <w:rPr>
          <w:sz w:val="22"/>
          <w:szCs w:val="22"/>
        </w:rPr>
        <w:t>5.7. Настоящий Договор вступает в силу с момента подписания его полномочными представителями Сторон.</w:t>
      </w:r>
    </w:p>
    <w:p>
      <w:pPr>
        <w:pStyle w:val="Normal"/>
        <w:ind w:start="360" w:end="0"/>
        <w:jc w:val="both"/>
        <w:rPr>
          <w:b/>
          <w:sz w:val="22"/>
          <w:szCs w:val="22"/>
          <w:u w:val="single"/>
        </w:rPr>
      </w:pPr>
      <w:r>
        <w:rPr>
          <w:b/>
          <w:sz w:val="22"/>
          <w:szCs w:val="22"/>
          <w:u w:val="single"/>
        </w:rPr>
      </w:r>
    </w:p>
    <w:p>
      <w:pPr>
        <w:pStyle w:val="Normal"/>
        <w:ind w:start="360" w:end="0"/>
        <w:jc w:val="center"/>
        <w:rPr>
          <w:sz w:val="22"/>
          <w:szCs w:val="22"/>
        </w:rPr>
      </w:pPr>
      <w:r>
        <w:rPr>
          <w:b/>
          <w:sz w:val="22"/>
          <w:szCs w:val="22"/>
        </w:rPr>
        <w:t>6.     АДРЕСА СТОРОН И РЕКВИЗИТЫ</w:t>
      </w:r>
    </w:p>
    <w:p>
      <w:pPr>
        <w:pStyle w:val="Normal"/>
        <w:jc w:val="both"/>
        <w:rPr>
          <w:color w:val="000000"/>
          <w:sz w:val="22"/>
          <w:szCs w:val="22"/>
        </w:rPr>
      </w:pPr>
      <w:r>
        <w:rPr>
          <w:color w:val="000000"/>
          <w:sz w:val="22"/>
          <w:szCs w:val="22"/>
        </w:rPr>
      </w:r>
    </w:p>
    <w:tbl>
      <w:tblPr>
        <w:tblW w:w="9571" w:type="dxa"/>
        <w:jc w:val="start"/>
        <w:tblInd w:w="0" w:type="dxa"/>
        <w:tblLayout w:type="fixed"/>
        <w:tblCellMar>
          <w:top w:w="0" w:type="dxa"/>
          <w:start w:w="108" w:type="dxa"/>
          <w:bottom w:w="0" w:type="dxa"/>
          <w:end w:w="108" w:type="dxa"/>
        </w:tblCellMar>
      </w:tblPr>
      <w:tblGrid>
        <w:gridCol w:w="4785"/>
        <w:gridCol w:w="4786"/>
      </w:tblGrid>
      <w:tr>
        <w:trPr/>
        <w:tc>
          <w:tcPr>
            <w:tcW w:w="4785" w:type="dxa"/>
            <w:tcBorders>
              <w:top w:val="single" w:sz="4" w:space="0" w:color="000000"/>
              <w:start w:val="single" w:sz="4" w:space="0" w:color="000000"/>
              <w:bottom w:val="single" w:sz="4" w:space="0" w:color="000000"/>
              <w:end w:val="single" w:sz="4" w:space="0" w:color="000000"/>
            </w:tcBorders>
          </w:tcPr>
          <w:p>
            <w:pPr>
              <w:pStyle w:val="Normal"/>
              <w:jc w:val="both"/>
              <w:rPr>
                <w:sz w:val="22"/>
                <w:szCs w:val="22"/>
              </w:rPr>
            </w:pPr>
            <w:r>
              <w:rPr>
                <w:b/>
                <w:bCs/>
                <w:sz w:val="22"/>
                <w:szCs w:val="22"/>
              </w:rPr>
              <w:t>Заказчик</w:t>
            </w:r>
            <w:r>
              <w:rPr>
                <w:sz w:val="22"/>
                <w:szCs w:val="22"/>
              </w:rPr>
              <w:t xml:space="preserve">: </w:t>
            </w:r>
          </w:p>
          <w:p>
            <w:pPr>
              <w:pStyle w:val="Normal"/>
              <w:jc w:val="both"/>
              <w:rPr>
                <w:color w:val="000000"/>
                <w:sz w:val="22"/>
                <w:szCs w:val="22"/>
              </w:rPr>
            </w:pPr>
            <w:r>
              <w:rPr>
                <w:color w:val="000000"/>
                <w:sz w:val="22"/>
                <w:szCs w:val="22"/>
              </w:rPr>
            </w:r>
          </w:p>
        </w:tc>
        <w:tc>
          <w:tcPr>
            <w:tcW w:w="4786" w:type="dxa"/>
            <w:tcBorders>
              <w:top w:val="single" w:sz="4" w:space="0" w:color="000000"/>
              <w:start w:val="single" w:sz="4" w:space="0" w:color="000000"/>
              <w:bottom w:val="single" w:sz="4" w:space="0" w:color="000000"/>
              <w:end w:val="single" w:sz="4" w:space="0" w:color="000000"/>
            </w:tcBorders>
          </w:tcPr>
          <w:p>
            <w:pPr>
              <w:pStyle w:val="Normal"/>
              <w:jc w:val="both"/>
              <w:rPr/>
            </w:pPr>
            <w:r>
              <w:rPr>
                <w:b/>
                <w:bCs/>
                <w:sz w:val="22"/>
                <w:szCs w:val="22"/>
              </w:rPr>
              <w:t>Исполнитель</w:t>
            </w:r>
            <w:r>
              <w:rPr>
                <w:sz w:val="22"/>
                <w:szCs w:val="22"/>
              </w:rPr>
              <w:t xml:space="preserve">: </w:t>
            </w:r>
          </w:p>
          <w:p>
            <w:pPr>
              <w:pStyle w:val="Normal"/>
              <w:rPr/>
            </w:pPr>
            <w:r>
              <w:rPr>
                <w:sz w:val="22"/>
                <w:szCs w:val="22"/>
              </w:rPr>
              <w:t>Общество с ограниченной ответственностью «ЭкспертКонсалтинг»</w:t>
            </w:r>
          </w:p>
          <w:p>
            <w:pPr>
              <w:pStyle w:val="Normal"/>
              <w:jc w:val="both"/>
              <w:rPr>
                <w:sz w:val="22"/>
                <w:szCs w:val="22"/>
              </w:rPr>
            </w:pPr>
            <w:r>
              <w:rPr>
                <w:sz w:val="22"/>
                <w:szCs w:val="22"/>
              </w:rPr>
              <w:t>140104 Московская обл., г. Раменское, ул. Высоковольтная, 22 - 444</w:t>
            </w:r>
          </w:p>
          <w:p>
            <w:pPr>
              <w:pStyle w:val="Normal"/>
              <w:jc w:val="both"/>
              <w:rPr>
                <w:sz w:val="22"/>
                <w:szCs w:val="22"/>
              </w:rPr>
            </w:pPr>
            <w:r>
              <w:rPr>
                <w:sz w:val="22"/>
                <w:szCs w:val="22"/>
              </w:rPr>
              <w:t>ОГРН 1137746956962</w:t>
            </w:r>
          </w:p>
          <w:p>
            <w:pPr>
              <w:pStyle w:val="Normal"/>
              <w:rPr/>
            </w:pPr>
            <w:r>
              <w:rPr>
                <w:sz w:val="22"/>
                <w:szCs w:val="22"/>
                <w:shd w:fill="FFFFFF" w:val="clear"/>
              </w:rPr>
              <w:t>ИНН: 7706801598</w:t>
            </w:r>
          </w:p>
          <w:p>
            <w:pPr>
              <w:pStyle w:val="Normal"/>
              <w:rPr>
                <w:sz w:val="22"/>
                <w:szCs w:val="22"/>
              </w:rPr>
            </w:pPr>
            <w:r>
              <w:rPr>
                <w:sz w:val="22"/>
                <w:szCs w:val="22"/>
                <w:shd w:fill="FFFFFF" w:val="clear"/>
              </w:rPr>
              <w:t>КПП 504001001</w:t>
            </w:r>
            <w:r>
              <w:rPr>
                <w:sz w:val="22"/>
                <w:szCs w:val="22"/>
              </w:rPr>
              <w:br/>
            </w:r>
            <w:r>
              <w:rPr>
                <w:sz w:val="22"/>
                <w:szCs w:val="22"/>
                <w:shd w:fill="FFFFFF" w:val="clear"/>
              </w:rPr>
              <w:t>Р/с: 40702810040000099492</w:t>
            </w:r>
            <w:r>
              <w:rPr>
                <w:sz w:val="22"/>
                <w:szCs w:val="22"/>
              </w:rPr>
              <w:br/>
            </w:r>
            <w:r>
              <w:rPr>
                <w:sz w:val="22"/>
                <w:szCs w:val="22"/>
                <w:shd w:fill="FFFFFF" w:val="clear"/>
              </w:rPr>
              <w:t>в ПАО Сбербанк</w:t>
            </w:r>
            <w:r>
              <w:rPr>
                <w:sz w:val="22"/>
                <w:szCs w:val="22"/>
              </w:rPr>
              <w:br/>
            </w:r>
            <w:r>
              <w:rPr>
                <w:sz w:val="22"/>
                <w:szCs w:val="22"/>
                <w:shd w:fill="FFFFFF" w:val="clear"/>
              </w:rPr>
              <w:t>К/с: 30101810400000000225</w:t>
            </w:r>
            <w:r>
              <w:rPr>
                <w:sz w:val="22"/>
                <w:szCs w:val="22"/>
              </w:rPr>
              <w:br/>
            </w:r>
            <w:r>
              <w:rPr>
                <w:sz w:val="22"/>
                <w:szCs w:val="22"/>
                <w:shd w:fill="FFFFFF" w:val="clear"/>
              </w:rPr>
              <w:t>БИК: 044525225</w:t>
            </w:r>
          </w:p>
          <w:p>
            <w:pPr>
              <w:pStyle w:val="Normal"/>
              <w:jc w:val="both"/>
              <w:rPr>
                <w:sz w:val="22"/>
                <w:szCs w:val="22"/>
              </w:rPr>
            </w:pPr>
            <w:r>
              <w:rPr>
                <w:sz w:val="22"/>
                <w:szCs w:val="22"/>
              </w:rPr>
            </w:r>
          </w:p>
          <w:p>
            <w:pPr>
              <w:pStyle w:val="Normal"/>
              <w:rPr>
                <w:color w:val="000000"/>
                <w:sz w:val="22"/>
                <w:szCs w:val="22"/>
              </w:rPr>
            </w:pPr>
            <w:r>
              <w:rPr>
                <w:color w:val="000000"/>
                <w:sz w:val="22"/>
                <w:szCs w:val="22"/>
              </w:rPr>
            </w:r>
          </w:p>
        </w:tc>
      </w:tr>
    </w:tbl>
    <w:p>
      <w:pPr>
        <w:pStyle w:val="Normal"/>
        <w:jc w:val="both"/>
        <w:rPr>
          <w:sz w:val="22"/>
          <w:szCs w:val="22"/>
        </w:rPr>
      </w:pPr>
      <w:r>
        <w:rPr>
          <w:sz w:val="22"/>
          <w:szCs w:val="22"/>
        </w:rPr>
      </w:r>
    </w:p>
    <w:p>
      <w:pPr>
        <w:pStyle w:val="Normal"/>
        <w:jc w:val="center"/>
        <w:rPr/>
      </w:pPr>
      <w:r>
        <w:rPr>
          <w:sz w:val="22"/>
          <w:szCs w:val="22"/>
        </w:rPr>
        <w:t xml:space="preserve">    </w:t>
      </w:r>
      <w:r>
        <w:rPr>
          <w:sz w:val="22"/>
          <w:szCs w:val="22"/>
        </w:rPr>
        <w:t>Подписи сторон:</w:t>
      </w:r>
    </w:p>
    <w:p>
      <w:pPr>
        <w:pStyle w:val="Normal"/>
        <w:jc w:val="both"/>
        <w:rPr>
          <w:sz w:val="22"/>
          <w:szCs w:val="22"/>
        </w:rPr>
      </w:pPr>
      <w:r>
        <w:rPr>
          <w:sz w:val="22"/>
          <w:szCs w:val="22"/>
        </w:rPr>
      </w:r>
    </w:p>
    <w:p>
      <w:pPr>
        <w:pStyle w:val="Normal"/>
        <w:jc w:val="both"/>
        <w:rPr>
          <w:sz w:val="22"/>
          <w:szCs w:val="22"/>
        </w:rPr>
      </w:pPr>
      <w:r>
        <w:rPr>
          <w:sz w:val="22"/>
          <w:szCs w:val="22"/>
        </w:rPr>
        <w:t>от Заказчика                                                                        от Исполнителя</w:t>
      </w:r>
    </w:p>
    <w:p>
      <w:pPr>
        <w:pStyle w:val="Normal"/>
        <w:rPr>
          <w:sz w:val="22"/>
          <w:szCs w:val="22"/>
        </w:rPr>
      </w:pPr>
      <w:r>
        <w:rPr>
          <w:sz w:val="22"/>
          <w:szCs w:val="22"/>
        </w:rPr>
      </w:r>
    </w:p>
    <w:p>
      <w:pPr>
        <w:pStyle w:val="Normal"/>
        <w:rPr/>
      </w:pPr>
      <w:r>
        <w:rPr>
          <w:sz w:val="22"/>
          <w:szCs w:val="22"/>
        </w:rPr>
        <w:t xml:space="preserve">                                                                                                                                     </w:t>
      </w:r>
      <w:r>
        <w:rPr>
          <w:sz w:val="22"/>
          <w:szCs w:val="22"/>
        </w:rPr>
        <w:t xml:space="preserve">Сюлев Н.С.   </w:t>
      </w:r>
    </w:p>
    <w:sectPr>
      <w:type w:val="nextPage"/>
      <w:pgSz w:w="11906" w:h="16838"/>
      <w:pgMar w:left="1701" w:right="850" w:gutter="0" w:header="0" w:top="709" w:footer="0" w:bottom="89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cc" w:characterSet="windows-1251"/>
    <w:family w:val="roman"/>
    <w:pitch w:val="variable"/>
  </w:font>
  <w:font w:name="Liberation Sans">
    <w:altName w:val="Arial"/>
    <w:charset w:val="00" w:characterSet="iso-8859-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3"/>
      <w:numFmt w:val="decimal"/>
      <w:lvlText w:val="%1"/>
      <w:lvlJc w:val="start"/>
      <w:pPr>
        <w:tabs>
          <w:tab w:val="num" w:pos="360"/>
        </w:tabs>
        <w:ind w:start="360" w:hanging="360"/>
      </w:pPr>
      <w:rPr>
        <w:u w:val="single"/>
        <w:b/>
      </w:rPr>
    </w:lvl>
    <w:lvl w:ilvl="1">
      <w:start w:val="3"/>
      <w:numFmt w:val="decimal"/>
      <w:lvlText w:val="%1.%2"/>
      <w:lvlJc w:val="start"/>
      <w:pPr>
        <w:tabs>
          <w:tab w:val="num" w:pos="720"/>
        </w:tabs>
        <w:ind w:start="720" w:hanging="360"/>
      </w:pPr>
      <w:rPr>
        <w:u w:val="single"/>
        <w:b/>
      </w:rPr>
    </w:lvl>
    <w:lvl w:ilvl="2">
      <w:start w:val="1"/>
      <w:numFmt w:val="decimal"/>
      <w:lvlText w:val="%1.%2.%3"/>
      <w:lvlJc w:val="start"/>
      <w:pPr>
        <w:tabs>
          <w:tab w:val="num" w:pos="1440"/>
        </w:tabs>
        <w:ind w:start="1440" w:hanging="720"/>
      </w:pPr>
      <w:rPr>
        <w:u w:val="single"/>
        <w:b/>
      </w:rPr>
    </w:lvl>
    <w:lvl w:ilvl="3">
      <w:start w:val="1"/>
      <w:numFmt w:val="decimal"/>
      <w:lvlText w:val="%1.%2.%3.%4"/>
      <w:lvlJc w:val="start"/>
      <w:pPr>
        <w:tabs>
          <w:tab w:val="num" w:pos="1800"/>
        </w:tabs>
        <w:ind w:start="1800" w:hanging="720"/>
      </w:pPr>
      <w:rPr>
        <w:u w:val="single"/>
        <w:b/>
      </w:rPr>
    </w:lvl>
    <w:lvl w:ilvl="4">
      <w:start w:val="1"/>
      <w:numFmt w:val="decimal"/>
      <w:lvlText w:val="%1.%2.%3.%4.%5"/>
      <w:lvlJc w:val="start"/>
      <w:pPr>
        <w:tabs>
          <w:tab w:val="num" w:pos="2520"/>
        </w:tabs>
        <w:ind w:start="2520" w:hanging="1080"/>
      </w:pPr>
      <w:rPr>
        <w:u w:val="single"/>
        <w:b/>
      </w:rPr>
    </w:lvl>
    <w:lvl w:ilvl="5">
      <w:start w:val="1"/>
      <w:numFmt w:val="decimal"/>
      <w:lvlText w:val="%1.%2.%3.%4.%5.%6"/>
      <w:lvlJc w:val="start"/>
      <w:pPr>
        <w:tabs>
          <w:tab w:val="num" w:pos="2880"/>
        </w:tabs>
        <w:ind w:start="2880" w:hanging="1080"/>
      </w:pPr>
      <w:rPr>
        <w:u w:val="single"/>
        <w:b/>
      </w:rPr>
    </w:lvl>
    <w:lvl w:ilvl="6">
      <w:start w:val="1"/>
      <w:numFmt w:val="decimal"/>
      <w:lvlText w:val="%1.%2.%3.%4.%5.%6.%7"/>
      <w:lvlJc w:val="start"/>
      <w:pPr>
        <w:tabs>
          <w:tab w:val="num" w:pos="3600"/>
        </w:tabs>
        <w:ind w:start="3600" w:hanging="1440"/>
      </w:pPr>
      <w:rPr>
        <w:u w:val="single"/>
        <w:b/>
      </w:rPr>
    </w:lvl>
    <w:lvl w:ilvl="7">
      <w:start w:val="1"/>
      <w:numFmt w:val="decimal"/>
      <w:lvlText w:val="%1.%2.%3.%4.%5.%6.%7.%8"/>
      <w:lvlJc w:val="start"/>
      <w:pPr>
        <w:tabs>
          <w:tab w:val="num" w:pos="3960"/>
        </w:tabs>
        <w:ind w:start="3960" w:hanging="1440"/>
      </w:pPr>
      <w:rPr>
        <w:u w:val="single"/>
        <w:b/>
      </w:rPr>
    </w:lvl>
    <w:lvl w:ilvl="8">
      <w:start w:val="1"/>
      <w:numFmt w:val="decimal"/>
      <w:lvlText w:val="%1.%2.%3.%4.%5.%6.%7.%8.%9"/>
      <w:lvlJc w:val="start"/>
      <w:pPr>
        <w:tabs>
          <w:tab w:val="num" w:pos="4680"/>
        </w:tabs>
        <w:ind w:start="4680" w:hanging="1800"/>
      </w:pPr>
      <w:rPr>
        <w:u w:val="single"/>
        <w:b/>
      </w:rPr>
    </w:lvl>
  </w:abstractNum>
  <w:abstractNum w:abstractNumId="3">
    <w:lvl w:ilvl="0">
      <w:start w:val="1"/>
      <w:numFmt w:val="decimal"/>
      <w:lvlText w:val="%1."/>
      <w:lvlJc w:val="start"/>
      <w:pPr>
        <w:tabs>
          <w:tab w:val="num" w:pos="840"/>
        </w:tabs>
        <w:ind w:start="840" w:hanging="480"/>
      </w:pPr>
      <w:rPr>
        <w:b/>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1"/>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2">
    <w:name w:val="Heading 2"/>
    <w:basedOn w:val="Normal"/>
    <w:next w:val="Normal"/>
    <w:qFormat/>
    <w:pPr>
      <w:keepNext w:val="true"/>
      <w:numPr>
        <w:ilvl w:val="1"/>
        <w:numId w:val="1"/>
      </w:numPr>
      <w:jc w:val="both"/>
      <w:outlineLvl w:val="1"/>
    </w:pPr>
    <w:rPr>
      <w:b/>
      <w:bCs/>
    </w:rPr>
  </w:style>
  <w:style w:type="character" w:styleId="WW8Num1z0">
    <w:name w:val="WW8Num1z0"/>
    <w:qFormat/>
    <w:rPr>
      <w:b/>
      <w:u w:val="single"/>
    </w:rPr>
  </w:style>
  <w:style w:type="character" w:styleId="WW8Num2z0">
    <w:name w:val="WW8Num2z0"/>
    <w:qFormat/>
    <w:rPr>
      <w:b/>
    </w:rPr>
  </w:style>
  <w:style w:type="character" w:styleId="Style13">
    <w:name w:val="Основной шрифт абзаца"/>
    <w:qFormat/>
    <w:rPr/>
  </w:style>
  <w:style w:type="character" w:styleId="2">
    <w:name w:val="Заголовок 2 Знак"/>
    <w:qFormat/>
    <w:rPr>
      <w:b/>
      <w:bCs/>
      <w:sz w:val="24"/>
      <w:szCs w:val="24"/>
      <w:lang w:val="ru-RU" w:bidi="ar-SA"/>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yle14">
    <w:name w:val="Текст выноски"/>
    <w:basedOn w:val="Normal"/>
    <w:qFormat/>
    <w:pPr/>
    <w:rPr>
      <w:rFonts w:ascii="Tahoma" w:hAnsi="Tahoma" w:cs="Tahoma"/>
      <w:sz w:val="16"/>
      <w:szCs w:val="16"/>
    </w:rPr>
  </w:style>
  <w:style w:type="paragraph" w:styleId="Style15">
    <w:name w:val="Обычный (веб)"/>
    <w:basedOn w:val="Normal"/>
    <w:qFormat/>
    <w:pPr>
      <w:spacing w:before="280" w:after="28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2026-09-27T21:25:00Z</dcterms:created>
  <dc:creator>Nikola</dc:creator>
  <dc:description/>
  <cp:keywords/>
  <dc:language>en-US</dc:language>
  <cp:lastModifiedBy>Николай Сюлев</cp:lastModifiedBy>
  <cp:lastPrinted>2025-09-06T21:03:00Z</cp:lastPrinted>
  <dcterms:modified xsi:type="dcterms:W3CDTF">2026-09-27T21:25:00Z</dcterms:modified>
  <cp:revision>2</cp:revision>
  <dc:subject/>
  <dc:title>ДОГОВОР №Э-__</dc:title>
</cp:coreProperties>
</file>